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550BE5AC" w:rsidR="00CC5E0E" w:rsidRPr="00CC5E0E" w:rsidRDefault="00ED6391" w:rsidP="00CC5E0E">
      <w:pPr>
        <w:rPr>
          <w:rFonts w:ascii="Raleway" w:hAnsi="Raleway" w:cs="Arial"/>
          <w:b/>
          <w:bCs/>
        </w:rPr>
      </w:pPr>
      <w:r>
        <w:rPr>
          <w:rFonts w:ascii="Raleway" w:hAnsi="Raleway" w:cs="Arial"/>
          <w:b/>
          <w:bCs/>
        </w:rPr>
        <w:t>Guam Power Authority General Manager</w:t>
      </w:r>
      <w:r w:rsidR="0003242F" w:rsidRPr="0003242F">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1B9B36F9" w:rsidR="00CC4126" w:rsidRPr="009F3350" w:rsidRDefault="00ED6391" w:rsidP="00A4006F">
      <w:pPr>
        <w:rPr>
          <w:rFonts w:ascii="Raleway" w:hAnsi="Raleway" w:cs="Arial"/>
        </w:rPr>
      </w:pPr>
      <w:r>
        <w:rPr>
          <w:rFonts w:ascii="Raleway" w:hAnsi="Raleway" w:cs="Arial"/>
          <w:b/>
        </w:rPr>
        <w:t xml:space="preserve">Seattle, Washington, June </w:t>
      </w:r>
      <w:r w:rsidR="00031D24">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Pr="00ED6391">
        <w:rPr>
          <w:rFonts w:ascii="Raleway" w:hAnsi="Raleway" w:cs="Arial"/>
        </w:rPr>
        <w:t>John M. Benavente</w:t>
      </w:r>
      <w:r>
        <w:rPr>
          <w:rFonts w:ascii="Raleway" w:hAnsi="Raleway" w:cs="Arial"/>
        </w:rPr>
        <w:t xml:space="preserve">, </w:t>
      </w:r>
      <w:r w:rsidRPr="00ED6391">
        <w:rPr>
          <w:rFonts w:ascii="Raleway" w:hAnsi="Raleway" w:cs="Arial"/>
        </w:rPr>
        <w:t>P.E., General Manager of Guam Power Authority</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3249C328" w14:textId="3AA664FB" w:rsidR="000E25EE" w:rsidRPr="000E25EE" w:rsidRDefault="00ED6391" w:rsidP="000E25EE">
      <w:pPr>
        <w:rPr>
          <w:rFonts w:ascii="Raleway" w:hAnsi="Raleway" w:cs="Arial"/>
        </w:rPr>
      </w:pPr>
      <w:r w:rsidRPr="00ED6391">
        <w:rPr>
          <w:rFonts w:ascii="Raleway" w:hAnsi="Raleway" w:cs="Arial"/>
        </w:rPr>
        <w:t>John has been with the utility for nearly 40 years – 26 serving as General Manager. He has led recovery efforts following category 4 and 5 typhoons, in addition to a magnitude-7.8 earthquake, and subsequently oversaw a revitalization and modernization of the utility’s infrastructure. John has also served on the APPA Board of Directors for Region 10, in which capacity he served as a champion for these island utility members, whose resources are often limited by their geography and economic status. Moreover, John championed mutual aid efforts across the region, encouraging small island members of the Pacific Power Association to implement APPA’s model, which has resulted in additional mutual aid agreements throughout Micronesia.</w:t>
      </w: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1D24"/>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07741"/>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71902"/>
    <w:rsid w:val="00E77582"/>
    <w:rsid w:val="00EB355F"/>
    <w:rsid w:val="00ED6391"/>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2023-06-01T17:49:00Z</dcterms:created>
  <dcterms:modified xsi:type="dcterms:W3CDTF">2023-06-02T13:19:00Z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