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7B3082BA" w:rsidR="00B85AB4" w:rsidRDefault="00F71683" w:rsidP="00B86377">
      <w:pPr>
        <w:rPr>
          <w:rFonts w:ascii="Raleway" w:hAnsi="Raleway" w:cs="Arial"/>
          <w:b/>
          <w:bCs/>
        </w:rPr>
      </w:pPr>
      <w:r w:rsidRPr="00F71683">
        <w:rPr>
          <w:rFonts w:ascii="Raleway" w:hAnsi="Raleway" w:cs="Arial"/>
          <w:b/>
          <w:bCs/>
        </w:rPr>
        <w:t xml:space="preserve">Marshfield Utilities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02C9DDEE" w:rsidR="00394356" w:rsidRPr="00394356" w:rsidRDefault="002E7005" w:rsidP="00394356">
      <w:pPr>
        <w:rPr>
          <w:rFonts w:ascii="Raleway" w:hAnsi="Raleway" w:cs="Arial"/>
        </w:rPr>
      </w:pPr>
      <w:r>
        <w:rPr>
          <w:rFonts w:ascii="Raleway" w:hAnsi="Raleway" w:cs="Arial"/>
          <w:b/>
        </w:rPr>
        <w:t>New Orleans, Louisiana</w:t>
      </w:r>
      <w:r w:rsidR="00FF78CC">
        <w:rPr>
          <w:rFonts w:ascii="Raleway" w:hAnsi="Raleway" w:cs="Arial"/>
          <w:b/>
        </w:rPr>
        <w:t>, June 1</w:t>
      </w:r>
      <w:r>
        <w:rPr>
          <w:rFonts w:ascii="Raleway" w:hAnsi="Raleway" w:cs="Arial"/>
          <w:b/>
        </w:rPr>
        <w:t>0</w:t>
      </w:r>
      <w:r w:rsidR="00FF78CC">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F71683" w:rsidRPr="00F71683">
        <w:rPr>
          <w:rFonts w:ascii="Raleway" w:hAnsi="Raleway" w:cs="Arial"/>
        </w:rPr>
        <w:t xml:space="preserve">Marshfield Utilities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6185A243" w:rsidR="005E1D53" w:rsidRDefault="00F71683" w:rsidP="005E1D53">
      <w:pPr>
        <w:rPr>
          <w:rFonts w:ascii="Raleway" w:hAnsi="Raleway" w:cs="Arial"/>
        </w:rPr>
      </w:pPr>
      <w:r w:rsidRPr="00F71683">
        <w:rPr>
          <w:rFonts w:ascii="Raleway" w:hAnsi="Raleway" w:cs="Arial"/>
        </w:rPr>
        <w:t xml:space="preserve">In 2024, Marshfield Utilities in Wisconsin celebrated 120 years of serving the community with its </w:t>
      </w:r>
      <w:proofErr w:type="spellStart"/>
      <w:r w:rsidRPr="00F71683">
        <w:rPr>
          <w:rFonts w:ascii="Raleway" w:hAnsi="Raleway" w:cs="Arial"/>
        </w:rPr>
        <w:t>ComMUnity</w:t>
      </w:r>
      <w:proofErr w:type="spellEnd"/>
      <w:r w:rsidRPr="00F71683">
        <w:rPr>
          <w:rFonts w:ascii="Raleway" w:hAnsi="Raleway" w:cs="Arial"/>
        </w:rPr>
        <w:t xml:space="preserve"> Care Project, with a goal of giving back to local communities in 120 different ways. The utility breaks its community service efforts into four focus areas: career education, local charities and non-profits, community events, and economic development. Over the past year, MU has participated in and supported 10 events and activities for career education, including story times at the public library, providing circuit kits for 4th-grade classes, and interview preparation for high school students. MU established a perpetual scholarship fund for an annual scholarship for a high school senior pursuing electric or water-related degrees, and an additional scholarship to any graduating Marshfield Utilities Youth Apprentice for pursuing a post-high school education. The utility’s employees actively participate in donations and fundraisers to aid the community, such as donating 300+ backpacks for Supplies 4 Success, professional attire for Soup or Socks clothing pantry, and financial donations to the local Junior Achievement Program</w:t>
      </w:r>
      <w:r w:rsidR="005E1D53" w:rsidRPr="005E1D53">
        <w:rPr>
          <w:rFonts w:ascii="Raleway" w:hAnsi="Raleway" w:cs="Arial"/>
        </w:rPr>
        <w:t>.</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729F5"/>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E7005"/>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C71B5"/>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7168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2025-05-27T18:59:00Z</dcterms:created>
  <dcterms:modified xsi:type="dcterms:W3CDTF">2025-05-27T18:59:00Z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